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CD7" w:rsidRDefault="00B83CD7" w:rsidP="00B83CD7">
      <w:pPr>
        <w:pStyle w:val="Overskrift1"/>
      </w:pPr>
      <w:bookmarkStart w:id="0" w:name="_Toc519687425"/>
      <w:r>
        <w:t>Servitut 2014 (Elektrificeringsprojekt)</w:t>
      </w:r>
      <w:bookmarkEnd w:id="0"/>
    </w:p>
    <w:p w:rsidR="00B83CD7" w:rsidRDefault="00B83CD7" w:rsidP="00B83CD7">
      <w:pPr>
        <w:spacing w:after="80"/>
        <w:rPr>
          <w:rFonts w:ascii="Arial" w:hAnsi="Arial" w:cs="Arial"/>
          <w:sz w:val="16"/>
          <w:szCs w:val="16"/>
        </w:rPr>
      </w:pPr>
    </w:p>
    <w:p w:rsidR="00B83CD7" w:rsidRDefault="00B83CD7" w:rsidP="00B83CD7">
      <w:pPr>
        <w:spacing w:after="80"/>
        <w:rPr>
          <w:rFonts w:ascii="Arial" w:hAnsi="Arial" w:cs="Arial"/>
          <w:bCs/>
          <w:sz w:val="16"/>
          <w:szCs w:val="16"/>
        </w:rPr>
      </w:pPr>
    </w:p>
    <w:p w:rsidR="00B83CD7" w:rsidRDefault="00B83CD7" w:rsidP="00B83CD7">
      <w:pPr>
        <w:spacing w:after="80"/>
        <w:rPr>
          <w:rFonts w:ascii="Arial" w:hAnsi="Arial" w:cs="Arial"/>
          <w:bCs/>
          <w:sz w:val="16"/>
          <w:szCs w:val="16"/>
        </w:rPr>
      </w:pPr>
      <w:r>
        <w:rPr>
          <w:rFonts w:ascii="Arial" w:hAnsi="Arial" w:cs="Arial"/>
          <w:bCs/>
          <w:sz w:val="16"/>
          <w:szCs w:val="16"/>
        </w:rPr>
        <w:t xml:space="preserve">I forbindelse med etablering af kørestrømsanlæg på </w:t>
      </w:r>
      <w:r>
        <w:rPr>
          <w:rFonts w:ascii="Arial" w:hAnsi="Arial" w:cs="Arial"/>
          <w:bCs/>
          <w:sz w:val="16"/>
          <w:szCs w:val="16"/>
        </w:rPr>
        <w:t xml:space="preserve">en </w:t>
      </w:r>
      <w:r>
        <w:rPr>
          <w:rFonts w:ascii="Arial" w:hAnsi="Arial" w:cs="Arial"/>
          <w:bCs/>
          <w:sz w:val="16"/>
          <w:szCs w:val="16"/>
        </w:rPr>
        <w:t xml:space="preserve">strækning pålægges naboejendommene til strækningerne langs banen som udgangspunkt </w:t>
      </w:r>
      <w:proofErr w:type="spellStart"/>
      <w:r>
        <w:rPr>
          <w:rFonts w:ascii="Arial" w:hAnsi="Arial" w:cs="Arial"/>
          <w:bCs/>
          <w:sz w:val="16"/>
          <w:szCs w:val="16"/>
        </w:rPr>
        <w:t>Eldriftsservitutten</w:t>
      </w:r>
      <w:proofErr w:type="spellEnd"/>
      <w:r>
        <w:rPr>
          <w:rFonts w:ascii="Arial" w:hAnsi="Arial" w:cs="Arial"/>
          <w:bCs/>
          <w:sz w:val="16"/>
          <w:szCs w:val="16"/>
        </w:rPr>
        <w:t xml:space="preserve">, medmindre der efter en konkret vurdering foretaget af Banedanmark og efter ekspropriationskommissionens afgørelse fastsættes andre servitutter. </w:t>
      </w:r>
    </w:p>
    <w:p w:rsidR="00B83CD7" w:rsidRDefault="00B83CD7" w:rsidP="00B83CD7">
      <w:pPr>
        <w:spacing w:after="80"/>
        <w:rPr>
          <w:rFonts w:ascii="Arial" w:hAnsi="Arial" w:cs="Arial"/>
          <w:bCs/>
          <w:sz w:val="16"/>
          <w:szCs w:val="16"/>
        </w:rPr>
      </w:pPr>
    </w:p>
    <w:p w:rsidR="00B83CD7" w:rsidRDefault="00B83CD7" w:rsidP="00B83CD7">
      <w:pPr>
        <w:spacing w:after="80"/>
        <w:rPr>
          <w:rFonts w:ascii="Arial" w:hAnsi="Arial" w:cs="Arial"/>
          <w:bCs/>
          <w:sz w:val="16"/>
          <w:szCs w:val="16"/>
        </w:rPr>
      </w:pPr>
      <w:r>
        <w:rPr>
          <w:rFonts w:ascii="Arial" w:hAnsi="Arial" w:cs="Arial"/>
          <w:bCs/>
          <w:sz w:val="16"/>
          <w:szCs w:val="16"/>
        </w:rPr>
        <w:t>Ejendommen pålægges servitut om rådighedsindskrænkning som nævnt i §§ 1 - 5.</w:t>
      </w:r>
    </w:p>
    <w:p w:rsidR="00B83CD7" w:rsidRDefault="00B83CD7" w:rsidP="00B83CD7">
      <w:pPr>
        <w:spacing w:after="80"/>
        <w:rPr>
          <w:rFonts w:ascii="Arial" w:hAnsi="Arial" w:cs="Arial"/>
          <w:bCs/>
          <w:sz w:val="16"/>
          <w:szCs w:val="16"/>
        </w:rPr>
      </w:pPr>
    </w:p>
    <w:p w:rsidR="00B83CD7" w:rsidRDefault="00B83CD7" w:rsidP="00B83CD7">
      <w:pPr>
        <w:spacing w:after="80"/>
        <w:rPr>
          <w:rFonts w:ascii="Arial" w:hAnsi="Arial" w:cs="Arial"/>
          <w:b/>
          <w:bCs/>
          <w:sz w:val="16"/>
          <w:szCs w:val="16"/>
        </w:rPr>
      </w:pPr>
      <w:r>
        <w:rPr>
          <w:rFonts w:ascii="Arial" w:hAnsi="Arial" w:cs="Arial"/>
          <w:b/>
          <w:bCs/>
          <w:sz w:val="16"/>
          <w:szCs w:val="16"/>
        </w:rPr>
        <w:t xml:space="preserve">§ 1 </w:t>
      </w:r>
    </w:p>
    <w:p w:rsidR="00B83CD7" w:rsidRDefault="00B83CD7" w:rsidP="00B83CD7">
      <w:pPr>
        <w:spacing w:after="80"/>
        <w:rPr>
          <w:rFonts w:ascii="Arial" w:hAnsi="Arial" w:cs="Arial"/>
          <w:sz w:val="16"/>
          <w:szCs w:val="16"/>
        </w:rPr>
      </w:pPr>
      <w:r>
        <w:rPr>
          <w:rFonts w:ascii="Arial" w:hAnsi="Arial" w:cs="Arial"/>
          <w:sz w:val="16"/>
          <w:szCs w:val="16"/>
        </w:rPr>
        <w:t>Ingen dele af ejendommens træer og b</w:t>
      </w:r>
      <w:r>
        <w:rPr>
          <w:rFonts w:ascii="Arial" w:hAnsi="Arial" w:cs="Arial"/>
          <w:sz w:val="16"/>
          <w:szCs w:val="16"/>
        </w:rPr>
        <w:t>uske må være tættere på end 3 meter</w:t>
      </w:r>
      <w:r>
        <w:rPr>
          <w:rFonts w:ascii="Arial" w:hAnsi="Arial" w:cs="Arial"/>
          <w:sz w:val="16"/>
          <w:szCs w:val="16"/>
        </w:rPr>
        <w:t xml:space="preserve"> målt fra en lodret linje gennem nærmeste spændingsførende del af køreledningsanlægget. For at opfylde dette krav kan Banedanmark pålægge ejeren af ejendommen for egen regning at beskære træer og anden bevoksning, s</w:t>
      </w:r>
      <w:r>
        <w:rPr>
          <w:rFonts w:ascii="Arial" w:hAnsi="Arial" w:cs="Arial"/>
          <w:sz w:val="16"/>
          <w:szCs w:val="16"/>
        </w:rPr>
        <w:t>om er mindre end 10 meter</w:t>
      </w:r>
      <w:r>
        <w:rPr>
          <w:rFonts w:ascii="Arial" w:hAnsi="Arial" w:cs="Arial"/>
          <w:sz w:val="16"/>
          <w:szCs w:val="16"/>
        </w:rPr>
        <w:t xml:space="preserve"> fra en lodret linje gennem nærmeste elektrificerede </w:t>
      </w:r>
      <w:proofErr w:type="spellStart"/>
      <w:r>
        <w:rPr>
          <w:rFonts w:ascii="Arial" w:hAnsi="Arial" w:cs="Arial"/>
          <w:sz w:val="16"/>
          <w:szCs w:val="16"/>
        </w:rPr>
        <w:t>spormidte</w:t>
      </w:r>
      <w:proofErr w:type="spellEnd"/>
      <w:r>
        <w:rPr>
          <w:rFonts w:ascii="Arial" w:hAnsi="Arial" w:cs="Arial"/>
          <w:sz w:val="16"/>
          <w:szCs w:val="16"/>
        </w:rPr>
        <w:t xml:space="preserve">, medmindre bevoksningen er underlagt en driftsform, der sikrer, at den ikke vil kunne nå nærmere end 3 meter til nærmeste spændingsførende del af køreledningsanlægget. </w:t>
      </w:r>
    </w:p>
    <w:p w:rsidR="00B83CD7" w:rsidRDefault="00B83CD7" w:rsidP="00B83CD7">
      <w:pPr>
        <w:spacing w:after="80"/>
        <w:rPr>
          <w:rFonts w:ascii="Arial" w:hAnsi="Arial" w:cs="Arial"/>
          <w:sz w:val="16"/>
          <w:szCs w:val="16"/>
        </w:rPr>
      </w:pPr>
      <w:r>
        <w:rPr>
          <w:rFonts w:ascii="Arial" w:hAnsi="Arial" w:cs="Arial"/>
          <w:sz w:val="16"/>
          <w:szCs w:val="16"/>
        </w:rPr>
        <w:t>Stk. 2. Ingen dele af ejendommens træer og buske må ud fra en forstfaglig vurdering være i særlig risiko for at vælte og derved udgøre en særlig risiko for at komme tættere end 3 m</w:t>
      </w:r>
      <w:r>
        <w:rPr>
          <w:rFonts w:ascii="Arial" w:hAnsi="Arial" w:cs="Arial"/>
          <w:sz w:val="16"/>
          <w:szCs w:val="16"/>
        </w:rPr>
        <w:t>eter</w:t>
      </w:r>
      <w:r>
        <w:rPr>
          <w:rFonts w:ascii="Arial" w:hAnsi="Arial" w:cs="Arial"/>
          <w:sz w:val="16"/>
          <w:szCs w:val="16"/>
        </w:rPr>
        <w:t xml:space="preserve"> på køreledningsanlægget. </w:t>
      </w:r>
    </w:p>
    <w:p w:rsidR="00B83CD7" w:rsidRDefault="00B83CD7" w:rsidP="00B83CD7">
      <w:pPr>
        <w:spacing w:after="80"/>
        <w:rPr>
          <w:rFonts w:ascii="Arial" w:hAnsi="Arial" w:cs="Arial"/>
          <w:b/>
          <w:bCs/>
          <w:sz w:val="16"/>
          <w:szCs w:val="16"/>
        </w:rPr>
      </w:pPr>
      <w:r>
        <w:rPr>
          <w:rFonts w:ascii="Arial" w:hAnsi="Arial" w:cs="Arial"/>
          <w:b/>
          <w:bCs/>
          <w:sz w:val="16"/>
          <w:szCs w:val="16"/>
        </w:rPr>
        <w:t xml:space="preserve">§ 2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8"/>
        <w:gridCol w:w="1715"/>
      </w:tblGrid>
      <w:tr w:rsidR="00B83CD7" w:rsidTr="00B83CD7">
        <w:trPr>
          <w:jc w:val="center"/>
        </w:trPr>
        <w:tc>
          <w:tcPr>
            <w:tcW w:w="6048" w:type="dxa"/>
            <w:tcBorders>
              <w:top w:val="single" w:sz="4" w:space="0" w:color="auto"/>
              <w:left w:val="single" w:sz="4" w:space="0" w:color="auto"/>
              <w:bottom w:val="single" w:sz="4" w:space="0" w:color="auto"/>
              <w:right w:val="single" w:sz="4" w:space="0" w:color="auto"/>
            </w:tcBorders>
            <w:hideMark/>
          </w:tcPr>
          <w:p w:rsidR="00B83CD7" w:rsidRDefault="00B83CD7">
            <w:pPr>
              <w:spacing w:after="80"/>
              <w:rPr>
                <w:rFonts w:ascii="Arial" w:hAnsi="Arial" w:cs="Arial"/>
                <w:sz w:val="16"/>
                <w:szCs w:val="16"/>
                <w:lang w:eastAsia="ja-JP"/>
              </w:rPr>
            </w:pPr>
            <w:r>
              <w:rPr>
                <w:rFonts w:ascii="Arial" w:hAnsi="Arial" w:cs="Arial"/>
                <w:sz w:val="16"/>
                <w:szCs w:val="16"/>
                <w:lang w:eastAsia="ja-JP"/>
              </w:rPr>
              <w:t xml:space="preserve">Målt fra en lodret linje gennem nærmeste elektrificerede </w:t>
            </w:r>
            <w:proofErr w:type="spellStart"/>
            <w:r>
              <w:rPr>
                <w:rFonts w:ascii="Arial" w:hAnsi="Arial" w:cs="Arial"/>
                <w:sz w:val="16"/>
                <w:szCs w:val="16"/>
                <w:lang w:eastAsia="ja-JP"/>
              </w:rPr>
              <w:t>spormidte</w:t>
            </w:r>
            <w:proofErr w:type="spellEnd"/>
            <w:r>
              <w:rPr>
                <w:rFonts w:ascii="Arial" w:hAnsi="Arial" w:cs="Arial"/>
                <w:sz w:val="16"/>
                <w:szCs w:val="16"/>
                <w:lang w:eastAsia="ja-JP"/>
              </w:rPr>
              <w:t xml:space="preserve"> må følgende kun findes på ejendommen længere væk end den angivne minimumsafstand.</w:t>
            </w:r>
          </w:p>
        </w:tc>
        <w:tc>
          <w:tcPr>
            <w:tcW w:w="1715" w:type="dxa"/>
            <w:tcBorders>
              <w:top w:val="single" w:sz="4" w:space="0" w:color="auto"/>
              <w:left w:val="single" w:sz="4" w:space="0" w:color="auto"/>
              <w:bottom w:val="single" w:sz="4" w:space="0" w:color="auto"/>
              <w:right w:val="single" w:sz="4" w:space="0" w:color="auto"/>
            </w:tcBorders>
            <w:vAlign w:val="center"/>
            <w:hideMark/>
          </w:tcPr>
          <w:p w:rsidR="00B83CD7" w:rsidRDefault="00B83CD7">
            <w:pPr>
              <w:spacing w:after="80"/>
              <w:rPr>
                <w:rFonts w:ascii="Arial" w:hAnsi="Arial" w:cs="Arial"/>
                <w:sz w:val="16"/>
                <w:szCs w:val="16"/>
                <w:lang w:eastAsia="ja-JP"/>
              </w:rPr>
            </w:pPr>
            <w:r>
              <w:rPr>
                <w:rFonts w:ascii="Arial" w:hAnsi="Arial" w:cs="Arial"/>
                <w:sz w:val="16"/>
                <w:szCs w:val="16"/>
                <w:lang w:eastAsia="ja-JP"/>
              </w:rPr>
              <w:t xml:space="preserve">Minimumsafstand </w:t>
            </w:r>
          </w:p>
        </w:tc>
      </w:tr>
      <w:tr w:rsidR="00B83CD7" w:rsidTr="00B83CD7">
        <w:trPr>
          <w:jc w:val="center"/>
        </w:trPr>
        <w:tc>
          <w:tcPr>
            <w:tcW w:w="6048" w:type="dxa"/>
            <w:tcBorders>
              <w:top w:val="single" w:sz="4" w:space="0" w:color="auto"/>
              <w:left w:val="single" w:sz="4" w:space="0" w:color="auto"/>
              <w:bottom w:val="single" w:sz="4" w:space="0" w:color="auto"/>
              <w:right w:val="single" w:sz="4" w:space="0" w:color="auto"/>
            </w:tcBorders>
            <w:hideMark/>
          </w:tcPr>
          <w:p w:rsidR="00B83CD7" w:rsidRDefault="00B83CD7" w:rsidP="00CC17DF">
            <w:pPr>
              <w:numPr>
                <w:ilvl w:val="0"/>
                <w:numId w:val="1"/>
              </w:numPr>
              <w:spacing w:after="80" w:line="280" w:lineRule="atLeast"/>
              <w:rPr>
                <w:rFonts w:ascii="Arial" w:hAnsi="Arial" w:cs="Arial"/>
                <w:sz w:val="16"/>
                <w:szCs w:val="16"/>
                <w:lang w:eastAsia="ja-JP"/>
              </w:rPr>
            </w:pPr>
            <w:r>
              <w:rPr>
                <w:rFonts w:ascii="Arial" w:hAnsi="Arial" w:cs="Arial"/>
                <w:sz w:val="16"/>
                <w:szCs w:val="16"/>
                <w:lang w:eastAsia="ja-JP"/>
              </w:rPr>
              <w:t xml:space="preserve">Tilskuerpladser, oplagspladser og </w:t>
            </w:r>
            <w:proofErr w:type="spellStart"/>
            <w:r>
              <w:rPr>
                <w:rFonts w:ascii="Arial" w:hAnsi="Arial" w:cs="Arial"/>
                <w:sz w:val="16"/>
                <w:szCs w:val="16"/>
                <w:lang w:eastAsia="ja-JP"/>
              </w:rPr>
              <w:t>nyopførsel</w:t>
            </w:r>
            <w:proofErr w:type="spellEnd"/>
            <w:r>
              <w:rPr>
                <w:rFonts w:ascii="Arial" w:hAnsi="Arial" w:cs="Arial"/>
                <w:sz w:val="16"/>
                <w:szCs w:val="16"/>
                <w:lang w:eastAsia="ja-JP"/>
              </w:rPr>
              <w:t xml:space="preserve"> af bygninger.</w:t>
            </w:r>
          </w:p>
        </w:tc>
        <w:tc>
          <w:tcPr>
            <w:tcW w:w="1715" w:type="dxa"/>
            <w:vMerge w:val="restart"/>
            <w:tcBorders>
              <w:top w:val="single" w:sz="4" w:space="0" w:color="auto"/>
              <w:left w:val="single" w:sz="4" w:space="0" w:color="auto"/>
              <w:bottom w:val="single" w:sz="4" w:space="0" w:color="auto"/>
              <w:right w:val="single" w:sz="4" w:space="0" w:color="auto"/>
            </w:tcBorders>
            <w:hideMark/>
          </w:tcPr>
          <w:p w:rsidR="00B83CD7" w:rsidRDefault="00B83CD7">
            <w:pPr>
              <w:spacing w:after="80"/>
              <w:rPr>
                <w:rFonts w:ascii="Arial" w:hAnsi="Arial" w:cs="Arial"/>
                <w:sz w:val="16"/>
                <w:szCs w:val="16"/>
                <w:lang w:eastAsia="ja-JP"/>
              </w:rPr>
            </w:pPr>
            <w:r>
              <w:rPr>
                <w:rFonts w:ascii="Arial" w:hAnsi="Arial" w:cs="Arial"/>
                <w:sz w:val="16"/>
                <w:szCs w:val="16"/>
                <w:lang w:eastAsia="ja-JP"/>
              </w:rPr>
              <w:t>10 m</w:t>
            </w:r>
          </w:p>
        </w:tc>
      </w:tr>
      <w:tr w:rsidR="00B83CD7" w:rsidTr="00B83CD7">
        <w:trPr>
          <w:jc w:val="center"/>
        </w:trPr>
        <w:tc>
          <w:tcPr>
            <w:tcW w:w="6048" w:type="dxa"/>
            <w:tcBorders>
              <w:top w:val="single" w:sz="4" w:space="0" w:color="auto"/>
              <w:left w:val="single" w:sz="4" w:space="0" w:color="auto"/>
              <w:bottom w:val="single" w:sz="4" w:space="0" w:color="auto"/>
              <w:right w:val="single" w:sz="4" w:space="0" w:color="auto"/>
            </w:tcBorders>
            <w:hideMark/>
          </w:tcPr>
          <w:p w:rsidR="00B83CD7" w:rsidRDefault="00B83CD7" w:rsidP="00CC17DF">
            <w:pPr>
              <w:numPr>
                <w:ilvl w:val="0"/>
                <w:numId w:val="1"/>
              </w:numPr>
              <w:spacing w:after="80" w:line="280" w:lineRule="atLeast"/>
              <w:rPr>
                <w:rFonts w:ascii="Arial" w:hAnsi="Arial" w:cs="Arial"/>
                <w:sz w:val="16"/>
                <w:szCs w:val="16"/>
                <w:lang w:eastAsia="ja-JP"/>
              </w:rPr>
            </w:pPr>
            <w:r>
              <w:rPr>
                <w:rFonts w:ascii="Arial" w:hAnsi="Arial" w:cs="Arial"/>
                <w:sz w:val="16"/>
                <w:szCs w:val="16"/>
                <w:lang w:eastAsia="ja-JP"/>
              </w:rPr>
              <w:t>Stakke, stilladser, stiger samt andre genstande og indretninger, der på grund af højde eller manglende stabilitet kan frembyde gene for køreledningsanlægget.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CD7" w:rsidRDefault="00B83CD7">
            <w:pPr>
              <w:rPr>
                <w:rFonts w:ascii="Arial" w:hAnsi="Arial" w:cs="Arial"/>
                <w:sz w:val="16"/>
                <w:szCs w:val="16"/>
                <w:lang w:eastAsia="ja-JP"/>
              </w:rPr>
            </w:pPr>
          </w:p>
        </w:tc>
      </w:tr>
      <w:tr w:rsidR="00B83CD7" w:rsidTr="00B83CD7">
        <w:trPr>
          <w:jc w:val="center"/>
        </w:trPr>
        <w:tc>
          <w:tcPr>
            <w:tcW w:w="6048" w:type="dxa"/>
            <w:tcBorders>
              <w:top w:val="single" w:sz="4" w:space="0" w:color="auto"/>
              <w:left w:val="single" w:sz="4" w:space="0" w:color="auto"/>
              <w:bottom w:val="single" w:sz="4" w:space="0" w:color="auto"/>
              <w:right w:val="single" w:sz="4" w:space="0" w:color="auto"/>
            </w:tcBorders>
            <w:hideMark/>
          </w:tcPr>
          <w:p w:rsidR="00B83CD7" w:rsidRDefault="00B83CD7" w:rsidP="00CC17DF">
            <w:pPr>
              <w:numPr>
                <w:ilvl w:val="0"/>
                <w:numId w:val="1"/>
              </w:numPr>
              <w:spacing w:after="80" w:line="280" w:lineRule="atLeast"/>
              <w:rPr>
                <w:rFonts w:ascii="Arial" w:hAnsi="Arial" w:cs="Arial"/>
                <w:sz w:val="16"/>
                <w:szCs w:val="16"/>
                <w:lang w:eastAsia="ja-JP"/>
              </w:rPr>
            </w:pPr>
            <w:r>
              <w:rPr>
                <w:rFonts w:ascii="Arial" w:hAnsi="Arial" w:cs="Arial"/>
                <w:sz w:val="16"/>
                <w:szCs w:val="16"/>
                <w:lang w:eastAsia="ja-JP"/>
              </w:rPr>
              <w:t>Maskiner og arbejdskøretøjer højere end 2 meter. Dog må landbrugs- og skovredskaber benyttes, hvor det er åbenlyst, at ingen del af disse redskaber kan komme nærmere end 2 meter til spændingsførende dele af køreledningsanlægget.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CD7" w:rsidRDefault="00B83CD7">
            <w:pPr>
              <w:rPr>
                <w:rFonts w:ascii="Arial" w:hAnsi="Arial" w:cs="Arial"/>
                <w:sz w:val="16"/>
                <w:szCs w:val="16"/>
                <w:lang w:eastAsia="ja-JP"/>
              </w:rPr>
            </w:pPr>
          </w:p>
        </w:tc>
      </w:tr>
      <w:tr w:rsidR="00B83CD7" w:rsidTr="00B83CD7">
        <w:trPr>
          <w:jc w:val="center"/>
        </w:trPr>
        <w:tc>
          <w:tcPr>
            <w:tcW w:w="6048" w:type="dxa"/>
            <w:tcBorders>
              <w:top w:val="single" w:sz="4" w:space="0" w:color="auto"/>
              <w:left w:val="single" w:sz="4" w:space="0" w:color="auto"/>
              <w:bottom w:val="single" w:sz="4" w:space="0" w:color="auto"/>
              <w:right w:val="single" w:sz="4" w:space="0" w:color="auto"/>
            </w:tcBorders>
            <w:hideMark/>
          </w:tcPr>
          <w:p w:rsidR="00B83CD7" w:rsidRDefault="00B83CD7" w:rsidP="00CC17DF">
            <w:pPr>
              <w:numPr>
                <w:ilvl w:val="0"/>
                <w:numId w:val="1"/>
              </w:numPr>
              <w:spacing w:after="80" w:line="280" w:lineRule="atLeast"/>
              <w:rPr>
                <w:rFonts w:ascii="Arial" w:hAnsi="Arial" w:cs="Arial"/>
                <w:sz w:val="16"/>
                <w:szCs w:val="16"/>
                <w:lang w:eastAsia="ja-JP"/>
              </w:rPr>
            </w:pPr>
            <w:r>
              <w:rPr>
                <w:rFonts w:ascii="Arial" w:hAnsi="Arial" w:cs="Arial"/>
                <w:sz w:val="16"/>
                <w:szCs w:val="16"/>
                <w:lang w:eastAsia="ja-JP"/>
              </w:rPr>
              <w:t>Flagstænger.</w:t>
            </w:r>
          </w:p>
        </w:tc>
        <w:tc>
          <w:tcPr>
            <w:tcW w:w="1715" w:type="dxa"/>
            <w:vMerge w:val="restart"/>
            <w:tcBorders>
              <w:top w:val="single" w:sz="4" w:space="0" w:color="auto"/>
              <w:left w:val="single" w:sz="4" w:space="0" w:color="auto"/>
              <w:bottom w:val="single" w:sz="4" w:space="0" w:color="auto"/>
              <w:right w:val="single" w:sz="4" w:space="0" w:color="auto"/>
            </w:tcBorders>
            <w:hideMark/>
          </w:tcPr>
          <w:p w:rsidR="00B83CD7" w:rsidRDefault="00B83CD7">
            <w:pPr>
              <w:spacing w:after="80"/>
              <w:rPr>
                <w:rFonts w:ascii="Arial" w:hAnsi="Arial" w:cs="Arial"/>
                <w:sz w:val="16"/>
                <w:szCs w:val="16"/>
                <w:lang w:eastAsia="ja-JP"/>
              </w:rPr>
            </w:pPr>
            <w:r>
              <w:rPr>
                <w:rFonts w:ascii="Arial" w:hAnsi="Arial" w:cs="Arial"/>
                <w:sz w:val="16"/>
                <w:szCs w:val="16"/>
                <w:lang w:eastAsia="ja-JP"/>
              </w:rPr>
              <w:t>14 m</w:t>
            </w:r>
          </w:p>
        </w:tc>
      </w:tr>
      <w:tr w:rsidR="00B83CD7" w:rsidTr="00B83CD7">
        <w:trPr>
          <w:jc w:val="center"/>
        </w:trPr>
        <w:tc>
          <w:tcPr>
            <w:tcW w:w="6048" w:type="dxa"/>
            <w:tcBorders>
              <w:top w:val="single" w:sz="4" w:space="0" w:color="auto"/>
              <w:left w:val="single" w:sz="4" w:space="0" w:color="auto"/>
              <w:bottom w:val="single" w:sz="4" w:space="0" w:color="auto"/>
              <w:right w:val="single" w:sz="4" w:space="0" w:color="auto"/>
            </w:tcBorders>
            <w:hideMark/>
          </w:tcPr>
          <w:p w:rsidR="00B83CD7" w:rsidRDefault="00B83CD7" w:rsidP="00CC17DF">
            <w:pPr>
              <w:numPr>
                <w:ilvl w:val="0"/>
                <w:numId w:val="1"/>
              </w:numPr>
              <w:spacing w:after="80" w:line="280" w:lineRule="atLeast"/>
              <w:rPr>
                <w:rFonts w:ascii="Arial" w:hAnsi="Arial" w:cs="Arial"/>
                <w:sz w:val="16"/>
                <w:szCs w:val="16"/>
                <w:lang w:eastAsia="ja-JP"/>
              </w:rPr>
            </w:pPr>
            <w:r>
              <w:rPr>
                <w:rFonts w:ascii="Arial" w:hAnsi="Arial" w:cs="Arial"/>
                <w:sz w:val="16"/>
                <w:szCs w:val="16"/>
                <w:lang w:eastAsia="ja-JP"/>
              </w:rPr>
              <w:t>Brønde til vandforsyning med stift pumperør.</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CD7" w:rsidRDefault="00B83CD7">
            <w:pPr>
              <w:rPr>
                <w:rFonts w:ascii="Arial" w:hAnsi="Arial" w:cs="Arial"/>
                <w:sz w:val="16"/>
                <w:szCs w:val="16"/>
                <w:lang w:eastAsia="ja-JP"/>
              </w:rPr>
            </w:pPr>
          </w:p>
        </w:tc>
      </w:tr>
      <w:tr w:rsidR="00B83CD7" w:rsidTr="00B83CD7">
        <w:trPr>
          <w:jc w:val="center"/>
        </w:trPr>
        <w:tc>
          <w:tcPr>
            <w:tcW w:w="6048" w:type="dxa"/>
            <w:tcBorders>
              <w:top w:val="single" w:sz="4" w:space="0" w:color="auto"/>
              <w:left w:val="single" w:sz="4" w:space="0" w:color="auto"/>
              <w:bottom w:val="single" w:sz="4" w:space="0" w:color="auto"/>
              <w:right w:val="single" w:sz="4" w:space="0" w:color="auto"/>
            </w:tcBorders>
            <w:hideMark/>
          </w:tcPr>
          <w:p w:rsidR="00B83CD7" w:rsidRDefault="00B83CD7" w:rsidP="00CC17DF">
            <w:pPr>
              <w:numPr>
                <w:ilvl w:val="0"/>
                <w:numId w:val="1"/>
              </w:numPr>
              <w:spacing w:after="80" w:line="280" w:lineRule="atLeast"/>
              <w:rPr>
                <w:rFonts w:ascii="Arial" w:hAnsi="Arial" w:cs="Arial"/>
                <w:sz w:val="16"/>
                <w:szCs w:val="16"/>
                <w:lang w:eastAsia="ja-JP"/>
              </w:rPr>
            </w:pPr>
            <w:r>
              <w:rPr>
                <w:rFonts w:ascii="Arial" w:hAnsi="Arial" w:cs="Arial"/>
                <w:sz w:val="16"/>
                <w:szCs w:val="16"/>
                <w:lang w:eastAsia="ja-JP"/>
              </w:rPr>
              <w:t xml:space="preserve">Tråde hørende til elektriske hegn i større højde end 2 meter over det </w:t>
            </w:r>
          </w:p>
          <w:p w:rsidR="00B83CD7" w:rsidRDefault="00B83CD7">
            <w:pPr>
              <w:spacing w:after="80"/>
              <w:rPr>
                <w:rFonts w:ascii="Arial" w:hAnsi="Arial" w:cs="Arial"/>
                <w:sz w:val="16"/>
                <w:szCs w:val="16"/>
                <w:lang w:eastAsia="ja-JP"/>
              </w:rPr>
            </w:pPr>
            <w:r>
              <w:rPr>
                <w:rFonts w:ascii="Arial" w:hAnsi="Arial" w:cs="Arial"/>
                <w:sz w:val="16"/>
                <w:szCs w:val="16"/>
                <w:lang w:eastAsia="ja-JP"/>
              </w:rPr>
              <w:t>terræn, hvorpå hegnet står.</w:t>
            </w:r>
          </w:p>
        </w:tc>
        <w:tc>
          <w:tcPr>
            <w:tcW w:w="1715" w:type="dxa"/>
            <w:vMerge w:val="restart"/>
            <w:tcBorders>
              <w:top w:val="single" w:sz="4" w:space="0" w:color="auto"/>
              <w:left w:val="single" w:sz="4" w:space="0" w:color="auto"/>
              <w:bottom w:val="single" w:sz="4" w:space="0" w:color="auto"/>
              <w:right w:val="single" w:sz="4" w:space="0" w:color="auto"/>
            </w:tcBorders>
            <w:hideMark/>
          </w:tcPr>
          <w:p w:rsidR="00B83CD7" w:rsidRDefault="00B83CD7">
            <w:pPr>
              <w:spacing w:after="80"/>
              <w:rPr>
                <w:rFonts w:ascii="Arial" w:hAnsi="Arial" w:cs="Arial"/>
                <w:sz w:val="16"/>
                <w:szCs w:val="16"/>
                <w:lang w:eastAsia="ja-JP"/>
              </w:rPr>
            </w:pPr>
            <w:r>
              <w:rPr>
                <w:rFonts w:ascii="Arial" w:hAnsi="Arial" w:cs="Arial"/>
                <w:sz w:val="16"/>
                <w:szCs w:val="16"/>
                <w:lang w:eastAsia="ja-JP"/>
              </w:rPr>
              <w:t>19 m</w:t>
            </w:r>
          </w:p>
        </w:tc>
      </w:tr>
      <w:tr w:rsidR="00B83CD7" w:rsidTr="00B83CD7">
        <w:trPr>
          <w:jc w:val="center"/>
        </w:trPr>
        <w:tc>
          <w:tcPr>
            <w:tcW w:w="6048" w:type="dxa"/>
            <w:tcBorders>
              <w:top w:val="single" w:sz="4" w:space="0" w:color="auto"/>
              <w:left w:val="single" w:sz="4" w:space="0" w:color="auto"/>
              <w:bottom w:val="single" w:sz="4" w:space="0" w:color="auto"/>
              <w:right w:val="single" w:sz="4" w:space="0" w:color="auto"/>
            </w:tcBorders>
            <w:hideMark/>
          </w:tcPr>
          <w:p w:rsidR="00B83CD7" w:rsidRDefault="00B83CD7" w:rsidP="00CC17DF">
            <w:pPr>
              <w:numPr>
                <w:ilvl w:val="0"/>
                <w:numId w:val="1"/>
              </w:numPr>
              <w:spacing w:after="80" w:line="280" w:lineRule="atLeast"/>
              <w:rPr>
                <w:rFonts w:ascii="Arial" w:hAnsi="Arial" w:cs="Arial"/>
                <w:sz w:val="16"/>
                <w:szCs w:val="16"/>
                <w:lang w:eastAsia="ja-JP"/>
              </w:rPr>
            </w:pPr>
            <w:proofErr w:type="spellStart"/>
            <w:r>
              <w:rPr>
                <w:rFonts w:ascii="Arial" w:hAnsi="Arial" w:cs="Arial"/>
                <w:sz w:val="16"/>
                <w:szCs w:val="16"/>
                <w:lang w:eastAsia="ja-JP"/>
              </w:rPr>
              <w:t>Trådformede</w:t>
            </w:r>
            <w:proofErr w:type="spellEnd"/>
            <w:r>
              <w:rPr>
                <w:rFonts w:ascii="Arial" w:hAnsi="Arial" w:cs="Arial"/>
                <w:sz w:val="16"/>
                <w:szCs w:val="16"/>
                <w:lang w:eastAsia="ja-JP"/>
              </w:rPr>
              <w:t xml:space="preserve"> antenner med tilhørende bærende konstruktioner og barduner.</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CD7" w:rsidRDefault="00B83CD7">
            <w:pPr>
              <w:rPr>
                <w:rFonts w:ascii="Arial" w:hAnsi="Arial" w:cs="Arial"/>
                <w:sz w:val="16"/>
                <w:szCs w:val="16"/>
                <w:lang w:eastAsia="ja-JP"/>
              </w:rPr>
            </w:pPr>
          </w:p>
        </w:tc>
      </w:tr>
    </w:tbl>
    <w:p w:rsidR="00B83CD7" w:rsidRDefault="00B83CD7" w:rsidP="00B83CD7">
      <w:pPr>
        <w:spacing w:after="80"/>
        <w:rPr>
          <w:rFonts w:ascii="Arial" w:hAnsi="Arial" w:cs="Arial"/>
          <w:sz w:val="16"/>
          <w:szCs w:val="16"/>
        </w:rPr>
      </w:pPr>
    </w:p>
    <w:p w:rsidR="00B83CD7" w:rsidRDefault="00B83CD7" w:rsidP="00B83CD7">
      <w:pPr>
        <w:spacing w:after="80"/>
        <w:rPr>
          <w:rFonts w:ascii="Arial" w:hAnsi="Arial" w:cs="Arial"/>
          <w:b/>
          <w:sz w:val="16"/>
          <w:szCs w:val="16"/>
        </w:rPr>
      </w:pPr>
      <w:r>
        <w:rPr>
          <w:rFonts w:ascii="Arial" w:hAnsi="Arial" w:cs="Arial"/>
          <w:b/>
          <w:sz w:val="16"/>
          <w:szCs w:val="16"/>
        </w:rPr>
        <w:t>§ 3</w:t>
      </w:r>
    </w:p>
    <w:p w:rsidR="00B83CD7" w:rsidRDefault="00B83CD7" w:rsidP="00B83CD7">
      <w:pPr>
        <w:spacing w:after="80"/>
        <w:rPr>
          <w:rFonts w:ascii="Arial" w:hAnsi="Arial" w:cs="Arial"/>
          <w:sz w:val="16"/>
          <w:szCs w:val="16"/>
        </w:rPr>
      </w:pPr>
      <w:r>
        <w:rPr>
          <w:rFonts w:ascii="Arial" w:hAnsi="Arial" w:cs="Arial"/>
          <w:sz w:val="16"/>
          <w:szCs w:val="16"/>
        </w:rPr>
        <w:t xml:space="preserve">For at opfylde de i § 1 nævnte krav kan Banedanmark pålægge ejeren af ejendommen for egen regning at fælde træer, som ved en af Banedanmark foretaget forstfaglig vurdering bedømmes til at være i særlig risiko for at vælte og derved udgøre en særlig risiko for anlægget. Sker dette ikke inden udløbet af en af Banedanmark fastsat frist, kan Banedanmark på ejerens bekostning gennemføre de nødvendige foranstaltninger. </w:t>
      </w:r>
    </w:p>
    <w:p w:rsidR="00B83CD7" w:rsidRDefault="00B83CD7" w:rsidP="00B83CD7">
      <w:pPr>
        <w:spacing w:after="80"/>
        <w:rPr>
          <w:rFonts w:ascii="Arial" w:hAnsi="Arial" w:cs="Arial"/>
          <w:sz w:val="16"/>
          <w:szCs w:val="16"/>
        </w:rPr>
      </w:pPr>
      <w:r>
        <w:rPr>
          <w:rFonts w:ascii="Arial" w:hAnsi="Arial" w:cs="Arial"/>
          <w:sz w:val="16"/>
          <w:szCs w:val="16"/>
        </w:rPr>
        <w:t xml:space="preserve">Stk. 2. Såfremt de i § 2 nævnte krav ikke overholdes, kan Banedanmark pålægge ejeren af ejendommen at bringe den servitutstridige tilstand til ophør. Sker dette ikke inden udløbet af en af Banedanmark fastsat frist, kan Banedanmark på ejerens bekostning gennemføre de nødvendige foranstaltninger. </w:t>
      </w:r>
    </w:p>
    <w:p w:rsidR="00B83CD7" w:rsidRDefault="00B83CD7" w:rsidP="00B83CD7">
      <w:pPr>
        <w:spacing w:after="80"/>
        <w:rPr>
          <w:rFonts w:ascii="Arial" w:hAnsi="Arial" w:cs="Arial"/>
          <w:b/>
          <w:bCs/>
          <w:sz w:val="16"/>
          <w:szCs w:val="16"/>
        </w:rPr>
      </w:pPr>
      <w:r>
        <w:rPr>
          <w:rFonts w:ascii="Arial" w:hAnsi="Arial" w:cs="Arial"/>
          <w:b/>
          <w:bCs/>
          <w:sz w:val="16"/>
          <w:szCs w:val="16"/>
        </w:rPr>
        <w:t xml:space="preserve">§ 4 </w:t>
      </w:r>
    </w:p>
    <w:p w:rsidR="00B83CD7" w:rsidRDefault="00B83CD7" w:rsidP="00B83CD7">
      <w:pPr>
        <w:spacing w:after="80"/>
        <w:rPr>
          <w:rFonts w:ascii="Arial" w:hAnsi="Arial" w:cs="Arial"/>
          <w:sz w:val="16"/>
          <w:szCs w:val="16"/>
        </w:rPr>
      </w:pPr>
      <w:r>
        <w:rPr>
          <w:rFonts w:ascii="Arial" w:hAnsi="Arial" w:cs="Arial"/>
          <w:sz w:val="16"/>
          <w:szCs w:val="16"/>
        </w:rPr>
        <w:t>Ejendommens ejer er endvidere pligtig at tåle, at Banedanmark ved tilsyn med servituttens overholdelse og i forbindelse med foretagelse af nødvendige og påbudte foranstaltninger på ejendommen, herunder fornøden beskæring eller fældning af bevoksning, har ret til færdsel på ejendommen mod erstatning for derved evt.</w:t>
      </w:r>
      <w:bookmarkStart w:id="1" w:name="_GoBack"/>
      <w:bookmarkEnd w:id="1"/>
      <w:r>
        <w:rPr>
          <w:rFonts w:ascii="Arial" w:hAnsi="Arial" w:cs="Arial"/>
          <w:sz w:val="16"/>
          <w:szCs w:val="16"/>
        </w:rPr>
        <w:t xml:space="preserve"> forvoldt skade. En sådan erstatning udredes i mangel af mindelig overenskomst af Banedanmark i overensstemmelse med dansk rets almindelige regler. </w:t>
      </w:r>
    </w:p>
    <w:p w:rsidR="00B83CD7" w:rsidRDefault="00B83CD7" w:rsidP="00B83CD7">
      <w:pPr>
        <w:spacing w:after="80"/>
        <w:rPr>
          <w:rFonts w:ascii="Arial" w:hAnsi="Arial" w:cs="Arial"/>
          <w:b/>
          <w:bCs/>
          <w:sz w:val="16"/>
          <w:szCs w:val="16"/>
        </w:rPr>
      </w:pPr>
      <w:r>
        <w:rPr>
          <w:rFonts w:ascii="Arial" w:hAnsi="Arial" w:cs="Arial"/>
          <w:b/>
          <w:bCs/>
          <w:sz w:val="16"/>
          <w:szCs w:val="16"/>
        </w:rPr>
        <w:t xml:space="preserve">§ 5 </w:t>
      </w:r>
    </w:p>
    <w:p w:rsidR="00B83CD7" w:rsidRDefault="00B83CD7" w:rsidP="00B83CD7">
      <w:pPr>
        <w:spacing w:after="80"/>
        <w:rPr>
          <w:rFonts w:ascii="Arial" w:hAnsi="Arial" w:cs="Arial"/>
          <w:sz w:val="16"/>
          <w:szCs w:val="16"/>
        </w:rPr>
      </w:pPr>
      <w:r>
        <w:rPr>
          <w:rFonts w:ascii="Arial" w:hAnsi="Arial" w:cs="Arial"/>
          <w:sz w:val="16"/>
          <w:szCs w:val="16"/>
        </w:rPr>
        <w:t xml:space="preserve">Påtaleretten tilkommer Banedanmark. </w:t>
      </w:r>
    </w:p>
    <w:p w:rsidR="0037371C" w:rsidRDefault="00B83CD7"/>
    <w:sectPr w:rsidR="003737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BE62ED"/>
    <w:multiLevelType w:val="hybridMultilevel"/>
    <w:tmpl w:val="D9FC4606"/>
    <w:lvl w:ilvl="0" w:tplc="04060017">
      <w:start w:val="1"/>
      <w:numFmt w:val="lowerLetter"/>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CD7"/>
    <w:rsid w:val="009B750C"/>
    <w:rsid w:val="00B83CD7"/>
    <w:rsid w:val="00DC737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78E99"/>
  <w15:chartTrackingRefBased/>
  <w15:docId w15:val="{B268C1CF-63D4-4433-8AFD-8C77600E9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3CD7"/>
    <w:pPr>
      <w:spacing w:after="0" w:line="240" w:lineRule="auto"/>
    </w:pPr>
    <w:rPr>
      <w:rFonts w:ascii="Times New Roman" w:eastAsia="Times New Roman" w:hAnsi="Times New Roman" w:cs="Times New Roman"/>
      <w:sz w:val="24"/>
      <w:szCs w:val="24"/>
      <w:lang w:eastAsia="da-DK"/>
    </w:rPr>
  </w:style>
  <w:style w:type="paragraph" w:styleId="Overskrift1">
    <w:name w:val="heading 1"/>
    <w:basedOn w:val="Normal"/>
    <w:next w:val="Normal"/>
    <w:link w:val="Overskrift1Tegn"/>
    <w:uiPriority w:val="9"/>
    <w:qFormat/>
    <w:rsid w:val="00B83CD7"/>
    <w:pPr>
      <w:keepNext/>
      <w:spacing w:before="240" w:after="60"/>
      <w:outlineLvl w:val="0"/>
    </w:pPr>
    <w:rPr>
      <w:rFonts w:ascii="Cambria" w:hAnsi="Cambria"/>
      <w:b/>
      <w:bCs/>
      <w:kern w:val="32"/>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83CD7"/>
    <w:rPr>
      <w:rFonts w:ascii="Cambria" w:eastAsia="Times New Roman" w:hAnsi="Cambria" w:cs="Times New Roman"/>
      <w:b/>
      <w:bCs/>
      <w:kern w:val="32"/>
      <w:sz w:val="32"/>
      <w:szCs w:val="32"/>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1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463</Words>
  <Characters>2825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Dorthe Kristiansen (DOKR)</dc:creator>
  <cp:keywords/>
  <dc:description/>
  <cp:lastModifiedBy>Dorthe Kristiansen (DOKR)</cp:lastModifiedBy>
  <cp:revision>1</cp:revision>
  <dcterms:created xsi:type="dcterms:W3CDTF">2018-09-24T08:30:00Z</dcterms:created>
  <dcterms:modified xsi:type="dcterms:W3CDTF">2018-09-24T08:35:00Z</dcterms:modified>
</cp:coreProperties>
</file>